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06" w:rsidRPr="009A7306" w:rsidRDefault="009A7306" w:rsidP="009A730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306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uk-UA" w:eastAsia="ru-RU"/>
        </w:rPr>
        <w:t>Тема. Точність і доречність мовлення. Складні випадки слововживання. </w:t>
      </w:r>
    </w:p>
    <w:p w:rsidR="009A7306" w:rsidRPr="009A7306" w:rsidRDefault="009A7306" w:rsidP="009A730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uk-UA" w:eastAsia="ru-RU"/>
        </w:rPr>
        <w:t>Пароніми та омоніми. Вибір синонімів</w:t>
      </w:r>
    </w:p>
    <w:p w:rsidR="009A7306" w:rsidRPr="009A7306" w:rsidRDefault="009A7306" w:rsidP="009A730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uk-UA" w:eastAsia="ru-RU"/>
        </w:rPr>
        <w:t> План</w:t>
      </w:r>
      <w:r w:rsidRPr="009A73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br/>
      </w:r>
    </w:p>
    <w:p w:rsidR="009A7306" w:rsidRPr="009A7306" w:rsidRDefault="009A7306" w:rsidP="009A73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     Багатозначні слова.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2.     Синонімічний вибір слова.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3.     Словники синонімів та паронімів: правила користування.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4.     Пароніми та омоніми у мові фаху.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 5.    Складноскорочені слова, абревіатури та графічні скорочення.  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6.   Абревіатури загальновживані та вузькоспеціальні </w:t>
      </w:r>
      <w:proofErr w:type="gramStart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тексті (граматичні форми).</w:t>
      </w:r>
    </w:p>
    <w:p w:rsidR="009A7306" w:rsidRPr="009A7306" w:rsidRDefault="009A7306" w:rsidP="009A73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Студенти повинні: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9A730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знати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особливості використання багатозначних слів, паронімів та омонімів у професійному мовленні; правила написання та введення у текст складноскорочених слів, абревіатур, графічних скорочень;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9A730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вміти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знаходити в тексті синоніми, пароніми, омоніми та доречно використовувати їх у професійному мовленні; користуватися словниками, редагувати тексти.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 </w:t>
      </w:r>
    </w:p>
    <w:p w:rsidR="009A7306" w:rsidRPr="009A7306" w:rsidRDefault="009A7306" w:rsidP="009A730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uk-UA" w:eastAsia="ru-RU"/>
        </w:rPr>
        <w:t>Література</w:t>
      </w:r>
    </w:p>
    <w:p w:rsidR="009A7306" w:rsidRPr="009A7306" w:rsidRDefault="009A7306" w:rsidP="009A73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1.     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Головащук</w:t>
      </w:r>
      <w:proofErr w:type="gramStart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І.</w:t>
      </w:r>
      <w:proofErr w:type="gramEnd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 Російсько-український словник сталих словосполучень. — К., 2001.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2.     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Головащук</w:t>
      </w:r>
      <w:proofErr w:type="gramStart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І.</w:t>
      </w:r>
      <w:proofErr w:type="gramEnd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Українське</w:t>
      </w:r>
      <w:r w:rsidR="0030390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літературне</w:t>
      </w:r>
      <w:r w:rsidR="0030390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слововживання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Словник-довідник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— К., 1995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     Гринчишин Д.Г. та ін. Словник-довідник з культури української мови. — Львів: Фенікс, 1996.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4.     Гринчишин Д. Г., Сербенська О. А. Словник паронімів української мови. -К., 1986.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2-ге вид</w:t>
      </w:r>
      <w:proofErr w:type="gramStart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gramEnd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перероб. і доп. — К., 2000.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5.     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Гринчишин Д. Г., Сербенська О. А. Словник парон</w:t>
      </w:r>
      <w:proofErr w:type="gramStart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en-AU" w:eastAsia="ru-RU"/>
        </w:rPr>
        <w:t>i</w:t>
      </w:r>
      <w:proofErr w:type="gramEnd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en-AU" w:eastAsia="ru-RU"/>
        </w:rPr>
        <w:t>i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української мови. — К.: Рад</w:t>
      </w:r>
      <w:proofErr w:type="gramStart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proofErr w:type="gramEnd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к., 1986. — 222 с.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6.     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Російсько-український словник наукової термінології: Суспільні науки. — К.: Наук, думка, 1994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     Словник синонімів української мови: У 2-х </w:t>
      </w:r>
      <w:proofErr w:type="gramStart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томах</w:t>
      </w:r>
      <w:proofErr w:type="gramEnd"/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Редкол. А.А. Бурячок та ін. — К.: Наукова думка, 2000.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 </w:t>
      </w:r>
      <w:r w:rsidRPr="009A730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 </w:t>
      </w:r>
    </w:p>
    <w:p w:rsidR="009A7306" w:rsidRPr="009A7306" w:rsidRDefault="009A7306" w:rsidP="009A7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0DF" w:rsidRDefault="009A7306" w:rsidP="00F3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lastRenderedPageBreak/>
        <w:t>Методичні вказівки</w:t>
      </w:r>
    </w:p>
    <w:p w:rsidR="00F310DF" w:rsidRPr="009A7306" w:rsidRDefault="00F310DF" w:rsidP="009A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Доречний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 такий, що відповідає ситуації спілкування, організовує мовлення відповідно до мети висловлювання. Отже, доречність – це така ознака культури мовлення, яка організовує його точність, логічність, виразність, чистоту і т.ін., вимагає такого добору мовних засобів, які відповідають змістові та характерові експресії повідомлення. Проте для доречності в мовленні самих мовних засобів не достатньо – доречність враховує ситуацію, склад слухачів (читачів), естетичні завдання.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Висловлювання доречне, якщо з його допомогою досягається мета, що ставилася мовцем, якщо потреби мовця реалізовані. Уміння вибрати найбільш вдалу форму спілкування, інтонаційну тональність, лексичні засоби формуються і практикою мовлення, і психологією людських стосунків. Не може наше мовлення бути безбарвним – навіть офіційний і науковий стилі мають свою тональність: розмірковувальну, переконуючу, доказову. Не може бути воно й словесно порожнім: бідність лексики, “словесна тріскотнеча” не прикрашають мовлення – повнота думки досягається не кількістю слів, а їх смисловою наповненістю, вагомістю. Хіба ж не вчать нас і сьогодні слова Платона: “Як у житті, так і в мовленні немає нічого важчого, як бачити, що доречно”. Тому мовлення повинно бути гнучким, динамічним, функціонально мобільним. Штамп, канцеляризм в офіційному стилі – доречні, в художньому – допустимі як стилістичний засіб характеристики мовлення персонажа, в інших випадках – недоречні, засмічують мову.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1431" w:rsidRPr="00FA1431" w:rsidRDefault="00FA1431" w:rsidP="00F3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Точність мовлення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Точність мовлення — повна відповідність, узгодже­ність висловлюваного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певними матеріальними та іде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альними реаліями життя; точність мовлення полягає в тому, щоб кожне реалізоване речення, його значеннєва сутність, будь-яке по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речень правдиво, реаліс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тично передавало зміс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висловленого і особистісне по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няттєво-почуттєве сприймання його мовцем.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спіл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кування з іншими було дієвим, результативним, воно повинно бути завжди 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точним і логічним. Точність мов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забезпечується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цілковитою відповідністю вжива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слів тим поняттям, уявленням, які закріпились у мовленні за мовними одиницями, найбільше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лексе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мами, фразеологізмами, реченнями. Точності мовлення протистоїть його неточність, яка спричиняється нет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очністю мислення. Мовленнєва не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точність пояснюєтьс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незнанням подробиць описувано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(говореного), з одног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боку, і неглибоким знанням мо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— з другого. Щоб за схожих обставин уникнути одних і тих самих мовних форм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а, отже, й однотипності, одно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манітності у вираженні думки й почуття, треба вміти правильно користуват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ись мовою, багатствами її лексики і граматики. Вико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ристання слів підлягає суворій закономірності: щоразу єдино потрібне слово 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посісти єдино потрібне місце.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Слова бувають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однозначні й ба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гатозначні, мають пряме й переносне значення і можуть вжи­ватися в переносному значенні.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Слово, що має одне значення, називається однозначним. Одне значення мають пере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важно назви людей за різними оз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наками {українець, киянин, слюсар, лікар, директор, родич, уді­вець), назви тварин {олень, леопард, нутрія, дельфін, окунь, краб, стриж, горобець, комар), назви рослин {сосна, тополя, вишня, шородина, пшениця, буряк,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жоржина, ромашка, чистотіл), на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 конкретних предметів {споруда, шафа, стілець, долото, лопата, торба, піджак, паркан), назви місяців і днів {січень, лютий, понеділок, вівторок), більшість відносних прикметників {міський, латунний, 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еновий, морський, тутешній, вчо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рашній, перелітний, подвійний, дев'ятиповерховий), числівники (два, три, десять) тощо.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однозначними є терміни {банкнот, вексель, інструк­ція, катет, аорта, меридіан, тонна, метр).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Слово, що має два і більше значень, називається багато­значним. Здатність слова виступати з різними значеннями на­зивається багатозначністю, або полісемією.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Слово може бути багатозначним тому, що в його назві враховується лише одна якась ознака предмета. А таку саму ознаку можуть мати й інші, відмінні предмети. Наприклад, основне пряме значення слова стіна — «вертикальна міцна частина будівлі» (матеріал, з якого вона виготовлена, тут не вказується), тому цим словом ще називають і «прямовисну бічну поверхню чого-небудь» (стіна урвища), і «муровану ого­рожу» (стіна замку), і переносно «щільний ряд людей» (люд­ська стіна), і так само переносно «моральну перепону між людьми» (стіна непорозуміння) тощо.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такому разі слово у свідомості мовців поєднується за його спільною визначальною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ознакою не з одним, а з кілько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 сигніфікатами. Наприклад, слово лінія означає «вузька смужка, що тягнеться на якій-небудь поверхні», і саме з основним значенням «смужка, що має протяжність» пов'язуються всі його побічні значення: «уявна смужка» (лінія горизонту), «межа» (оборонна лінія), «шлях» (трамвайна лінія), «послідов­ний ряд кровно споріднених осіб» (по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материній лінії), «по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слідовний розвиток подій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художньому творі» (сюжетна лі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нія), «спосіб дії» (лінія поведінки).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0DF" w:rsidRPr="00F310DF" w:rsidRDefault="00F310DF" w:rsidP="00F3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Основне й побічні значення слова.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багатозначному слові одне значення основне, інші — побічні. У слові голова основним є значення «частина тіла», побічними — «розум», «керівник», «передні ряди», «основна річ» тощо. Іноді в слові буває два й більше основних значень. Наприклад, слово грубий має три основні 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значення: «товстий»; «необроблений»; «брутальний». Часом основним для слова є не первинне його значення, а похідне, як це сталося, наприк­лад, з іменником колія, основним значенням для якого тепер є не «наїжджене заглиблення від коліс на дорозі», а «лінія з двох паралельно прокладених рейок, призначена для руху поїздів* трамваїв тощо».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Кожне конкретне значення багатозначного слова реалі­зується в контексті, у ситуації: важка колода (має велику вагу), важка будівля (велика, масивна), важкі </w:t>
      </w:r>
      <w:r w:rsidR="00DC7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кроки (по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вільні, втомлені), важка робота (вимагає значних зусиль), важкий день (сповнений труднощів), важкий удар (сильний), важкий настрій (гнітючий)</w:t>
      </w:r>
      <w:r w:rsidR="00DC7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важкий біль (нестерпний), важ</w:t>
      </w:r>
      <w:bookmarkStart w:id="0" w:name="_GoBack"/>
      <w:bookmarkEnd w:id="0"/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характер (незлагідн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ий), важкий погляд (суворий, по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хмурий).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Більшість загальновживаних слів української мови — багатозначні. Наприклад, у «Словнику української мови» зафіксовано тридцять значень дієслова іти: «ступати ногами», «рухатися в якомусь напрямку» (про транспорт), «вирушати куди-небудь», «ставати кудись на роботу»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«діяти певним чи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ном», «брати шлюб», «знаход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 збут» (про товари), «виділя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 з чого-небудь», «настав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ати» і т. д. Слово крило має де</w:t>
      </w: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сять значень: «літальний орган птахів», «несуча поверхня літака», «лопать вітряка», «дашок над колесом автомашини», «бічна частина будівлі», «угруповання в політичній організації» тощо.</w:t>
      </w:r>
    </w:p>
    <w:p w:rsidR="00F310DF" w:rsidRPr="00F310DF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310DF" w:rsidP="00F3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Багатозначність дає змогу за відносно обмеженої кількості слів називати ними практично необмежену кількість предметів та явищ.</w:t>
      </w:r>
    </w:p>
    <w:p w:rsidR="00F310DF" w:rsidRDefault="00F310DF" w:rsidP="00FA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Пароніми в діловому мовленні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Пароніми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слова, досить близькі за звуковим складом і звучанням, але різні за значенням.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вони мають один корінь, а відрізняються лише суфіксом, префіксом, закінченням, наявністю чи відсутністю частки -ся.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Паронім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 - явище, поширене у всіх сфе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 мовної діяльності. Слова можуть мати спільні корені,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відрізнятися різними префік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сами або наявністю / відсутністю префіксів. Найчастіше це дієслова або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хідні від них утворення, напр.: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— дати відомості, інформацію (зі станом справ, з пла­ном, з проектом) - познайомити - представити, рекомендувати (з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ри­ятелем, зі співробітниками);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вирізнятися — виділятися серед інших, бути помітним (зростом, силою, голосом) - відрізнятися - характеризуватися особливостями, які не властиві подібним іншим (від своїх колег, один від одного).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Паронімічна пара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(або й більша кількість слів) може відрізнятися суфіксами, напр.: адресант - „той, хто посилає лист, телеграму, відправник" - адре­сат - „той, кому адресуєть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лист, телеграма, одержувач";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відносини - „стосунки, взаємини, зв'язки" - відношення - „зв'язок між одиницями-поняттями (числами, словами) у математиці, мовознав­стві, філософії тощо";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дипломант - „особа, відзначена почесним дипломом за видатні ус­піхи в якій-небудь галузі" - дипломат - „службова особа, яка займа­ється дипломатичною діяльністю" - дипломник - „студент навчально­го закладу, який вико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нує дипломну роботу чи проект";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дільниця - „адміністративно-самостійний об'єкт або виробничий вузол на будівництві, підприємстві,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алізниці тощо" - ділянка - „час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тина якої-небудь поверхні, земельної площі, зона військових дій; га­лузь, сфера діяльності";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слів-паронімів, що відрізняються суфіксами, є дуже багато прикметників. Знати їхні значення або й невеликі значеннєві відтінки важливо, тому що можна допустити помилку тоді, коли вони вступа­ють у зв'язки з іншими словами, на рівні синтаксичних сполучень. Прикметники тут є важливим засоб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уточнення інформації, напр.: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виборний - орган, посада, особа - виборчий - округ, дільниця, комі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сія, бюлетень, голос, кампанія;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військовий - комісаріат, патруль, частина, госпіталь, квиток, звання - воєнний - стан, кампанія, тактика, стратегія, період, роки, маневр;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гарантійний - лист, паспорт, талон, ремонт, кредит, договір, зобо­в'язання - гарантований - заробіток, оплата, право, свобода, доходи;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громадський - активіст, діяч, орган, діяльність, думка, робота, до­ручення - громадянський - обов'язок, позиція, свідомість, права, свободи, почуття;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інформативний - характер, лекція, функція, перевантаженість - інформаційний - агентство, бюро, служба, новини, канал, технології; книжковий - видавництво, магазин, графіка, полиця, шафа, форум - книжний - мова, стиль, лексика, зворот, вислів, відтінок, забарв­лення;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професійний - рівень, кваліфікація, компетентність, майстерність, обов'язок - професіональний - диктор, розвідник, футболіст, театр, виконання;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паронімічні ряди можуть поєднуватися споріднені слова і випад­ково співзвучні. У багатьох випадках вони відрізняються голосними чи приголосними звуками, звукосполученнями, наявністю / відсутніс­тю закінчення, напр.: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талан - „доля, щастя, удача " - талант - „видатні природні здіб­ності, високий ступінь обдарування";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 - „споживання їжі" - їжа - „харчі";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покажчик - „напис, стрілка або інша позначка, що вказує на на­прям руху, розташування чого-небудь; довідкова книжка чи довідко­вий список, доданий до книжки; контрольно-вимірювальний прилад" -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— „доказ, ознака чого-небудь; дані про результати якоїсь роботи, якогось процесу";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кампанія - „сукупність заходів для здійснення важливих громадсь­ко-політичних, господарських або культурних завдань" - компанія -„група осіб, об'єднана певними інтересами; товариство; торговельне або промислове об'єднання, спілка";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орієнтуватися на широке розуміння паронімії, до таких паронімічних пар можна зарахувати й такі,</w:t>
      </w:r>
      <w:r w:rsidR="00277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яких близькозвучність сумнів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на, але частотність вживання у невластивому значенні велика, напр.: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виключно - лише, тільки (виключно для працівників банку);</w:t>
      </w:r>
    </w:p>
    <w:p w:rsidR="00FA1431" w:rsidRPr="00FA1431" w:rsidRDefault="00FA1431" w:rsidP="00FA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винятково - дуже, особливо, надзвичайно (практика має винятко­во важливе значення);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- те, що вимагає виконання; складне питання, проблема, яка потребує вирішення, дослідження;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задача - вправа, яку розв'язують шляхом обчислення та умовиводів.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значення близькозвучних слів розмежовуються повністю, їх вважають повними паронімами. Однак є й такі, у яких процес розме­жування за значенням не завершився, вони можуть навіть взаємно за­мінюватись, напр.: міфічний /міфологічний; заклик / поклик; вин</w:t>
      </w:r>
      <w:r w:rsidR="00277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радний / виноградовий; психологічний / психічний та ін.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Явище паронімії вимагає знання значень близькозвучних слів, мож­ливостей сполучення з іншими словами. Лише за такої умови можна досягти адекватного їх вживання.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310DF" w:rsidRDefault="00FA1431" w:rsidP="0027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Омоніми в діловому мовленні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Омоніми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слова, які однакові за звучанням, написанням, але мають різне значення (коса, ключ).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Джерелами омонімії є: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випадковий збіг неспоріднених с</w:t>
      </w:r>
      <w:r w:rsidR="00277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лів: деркач (птах) - деркач (ві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ник); термін (слово) - термін (строк);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розпад багатозначного слова: переказати (переповісти) - пере­казати (гроші); сісти (про людину) - сісти ( про батарейку);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словотворчі процеси: винний (вина) - винний (вино); безділля (не­робство) - безділля (відсутність долі); компостувати (компостер) - компостувати (компост); ВАК (Вища арбітражна комісія) -ВАК(Вища атестаційна комісія);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збіг абревіатури та вже наявного в мові слова: СУМ (Словник української мови - сум (смуток); СТО (станція технічного обслугову­вання) - сто (100);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збіг українського та іншомовного слова: лава (предмет для си­діння) - лава (з італ. розплавлена вулканічна маса); клуб (диму) - клуб (з англ. - товариство, приміщення);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засвоєння з різних мов: ліга (з франц. - асоціація) - ліга (з італ. - знак над нотами у вигляді дуги); клінкер (з нім. - спечені глиняні вироби у вигляді цегли) - клінкер (з англ. вузький довгий спортивний човен).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Омоніми становлять неабияку т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рудність у практиці слововживан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ня. Тому основна вимога до тексту з омонімом - чіткість, виразність, повнота інформації, точність контексту.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 також явище міжмовної омонімії - продукт взаємодії близькоспоріднених мов, сплутування однакових за звучанням слів, що позначають різні поняття у різних мовах. Це дало змогу називати між­мовні омоніми "фальшивими друзями перекладача", "підводними ри­фами у мовленні", "ключами, що відмикають зовсім різну дійсність". Провокаційна близькість слів - однаковість (чи приблизна однако­вість) звучання - створює проблему в міжкультурній комунікації, є при­чиною двозначних ситуацій або словесною пасткою під час перекладу.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Причиною прикрих помило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у щоденному мовленні є сплуту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слів, однакових за звучанням у російській та українській мовах. Дібрала та докладно пояснила правильне вживання таких омонімів І. Фаріон: ми часто боліємо за „Шахта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р" (замість уболіваємо); назива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 по фамілії (замість на прізвище, а фамілія живе у селі); губимо чужу долю (замість занапащаємо, а губимо речі); мішаємо працювати (замість заважаємо, а мішаємо кашу); їмо обід з трьох блюд (замість із трьох страв на різних блюдах); лиша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 когось прав (замість позбав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ляємо, а лишаємо напризволяще); відк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азуємо у послузі (замість відмо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вляємо, а відказуємо на запитання); дурно себе почуваємо (замість погано, зле, але дурно кудись йдемо); смутно згадуємо (замість нечіт­ко, ледве, а смутно хіба від цього на душі); приїздимо зі свитою 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(за­мість із почтом, але у старій свиті); путаємо терміни (замість плутає­мо, а путаємо коней); заказуємо квитки (замість замовляємо, але зака­зуємо туди їхати); заставляємо щось робити (замість змушуємо, а заставляємо хату меблями і річ у ломбарді); доказуємо теорему (за­мість доводимо, а доказуємо казку до кінця); цілу неділю ходимо на роботу (замість тиждень, а в неді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 відпочиваємо); заїжджаємо ко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мусь у рожу (замість у пику, а рожі зацвітають у саду); поступаємо до університету (замість вступаємо, а поступаємо комусь щось); гойдаємо дитину в люльці (замість ко</w:t>
      </w:r>
      <w:r w:rsidR="00F31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лисці, а люльку куримо); зачиня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 калітку (замість хвіртку, а калитку ховаємо); йдемо до книжного магазину (замість книжкового чи книгарні, але знаємося на книжному стилі); являємося найбільшими знавцями (замість є, а являємося хіба що у сні); їздимо на рибалку (замість на риболовлю, але з рибалками); гадаємо на кавовій гущі (замість ворожимо, а гадаємо, що знаємо укра­їнську мову...).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Міжмовна омонімія може стосуватися й віддалених від української мов. Найчастіше це зумовлює помилки під час перекладу текстів. Пе­рекладачі залишають поза увагою окремі відтінки значень слів, напр., з англійської: accurate (точний), magazine (журнал), figure (цифра), dramatic (несподіваний, яскравий), decade (десятиріччя), formal (офі­ційний), nation (народ, країна), sabotage (диверсійний акт), popular (народний), з французької: artiste (художник) та ін. Звичайно, для того, щоб уникати таких помилок, треба знати предмет перекладу, досконало володіти мовою оригіналу та його лексико-граматичними особливостями у зіставленні з рідною, частіше звертатися до перекладного словника.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Омоніми можуть застосовуватися у різних функціональних стилях, але лише в художньому - з певною стилістичною метою. Науковий і офіційно-діловий вимагає точності контексту, тому омоніми у них не мають стилістичних функцій.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310DF" w:rsidRDefault="00FA1431" w:rsidP="0027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10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Синоніми в діловому мовленні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Синоніми - це слова відмінні одне від одного своїм звуковим складом, але близькі або тотожні за значенням. Наприклад: сміливий, відважний, хоробрий, безстрашний, героїчний.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Синоніми поділяються на три основні групи: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лексичні синоніми, що відрізняються смислових відтінками (відомий - видатний - славетний - знаменитий);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стилістичні синоніми - це слова, що відрізняються стилістичним і емоційними забарвленням (говорити – мовити - пророчити - верзти);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3) абсолютні синоніми - зовсім не відрізняються значенням і в усякому контексті можуть вживатися без будь-якої відмінності (мовознавство - лінгвістика; століття - сторіччя).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Синонімічне багатство мови передусім свідчить про її красу, мож­ливості передавати всі відтінки значень слів та емоційно-експресивне забарвлення. „Багатство синонімів - одна з питомих ознак багатства мови взагалі,"27 - наголошував М. Рильський. Ось яскраві приклади "рясноти синонімів" української мови: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завірюха — метелиця, хуртовина, курява, віхола, буран, заметіль, пурга, хуга, сніговій, сніговійниця, поземка, пороша, хиза, охиза, хурія, хурдига, хурделиця;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горизонт - обрій, небозвід, небосхил, небокруг, крайнебо, круговид, кругозір, кругогляд, виднокруг, видноколо, виднокіл, виднокрай, небо­край, овид;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дорога — шлях, гостинець, путівець, путь, стежка, шосе, траса, магістраль, автострада, орбіта.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синонім має свою історію, традиції у вживанні, своє місце і роль. Синоніми називають "скарбами мови", "багатими самоцвіта­ми", "фарбами в руках артиста-маляра", тому синонімія передусім є невичерпним джерелом стилістики Синоніміка - один із найважливіших чинників, що зумовлюють своє­рідність стилю будь-якого письменника. У художньому стилі синоні­ми є засобом естетичним.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Однією із важливих функцій синонімів у мовленні є урізноманіт­нення викладу, уникнення монотонності, повторів. Основуючись на пев­ному значеннєвому нюансі слова, можна виділити, підсилити, уточни­ти, оцінити, а отже, висловити думку якнайдоречніше. Для цього у ре­єстрі словників синонімів є значні за обсягом синонімічні ряди, як-от: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відносини — стосунки, взаємини, взаємовідносини;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авторитет — повага, пошана, престиж, вага, репутація;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— сфера, ділянка;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інцидент — випадок, пригода, непорозуміння;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 — заохочення, імпульс, поштовх;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старанність — пильність, ретельність, завзяття;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енергійний — активний, працьовитий, наполегливий, рішучий, діяльний;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 —підвищити, підняти, примножити, посилити;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турбуватися — піклуватися, клопотатися, дбати;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хронічний — затяжний, тривалий, довгий, постійний, довготрива­лий, довгочасний.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Синонімія пов'язана з культурою мови. Багатство синонімів дає змогу відшукати найдоречніше, найпотрібніше для контексту слово, а самі пошуки такого слова розвивають і збагачують думку, виховують навички правильного спілкування, підвищують мовну культуру. У мові ділового спілкування є чимало різних мовних позначень того самого поняття, напр.: бажати - хотіти; властивий — притаманний, харак­терний; вживати - застосовувати, використовувати, користувати­ся; проживати - мешкати; одержувати - отримувати; потрапляти - попадати; змушений - вимушений та ін.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багато слів з одного синонімічного ряду мають певні значен­нєві відтінки, які потрібно врахувати, щоб висловитися точно, уникну­ти неоднозначного тлумачення висловлювання або зберегти нейтраль­ний тон, зваживши на стилістичний відтінок. Наведемо приклади: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Запам'ятайте значення слів-синонімів, що часто вживаються в діловому мовленні:</w:t>
      </w:r>
    </w:p>
    <w:p w:rsidR="00FA1431" w:rsidRPr="00FA1431" w:rsidRDefault="00FA1431" w:rsidP="002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Замісник, заступник.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Замісник - посадова особа, яка тимчасово виконує чиїсь обов'язки, тобто заміщає відсутнього керівника.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- це офіційна назва посади.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Квиток, білет.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Квиток - вживається у словосполученнях: театральний квиток, залізничний квиток, студентський квиток тощо. Білет - кредитний, банківський, екзаменаційний.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Наступний, подальший.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Наступний - вживається з конкретними поняттями (зупинка, тиж­день).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Подальший - вживається на означення абстрактного поняття (жит­тя, доля).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Суспільний, громадський.</w:t>
      </w:r>
    </w:p>
    <w:p w:rsidR="00FA1431" w:rsidRPr="00FA1431" w:rsidRDefault="00FA1431" w:rsidP="0027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431" w:rsidRPr="00FA1431" w:rsidRDefault="00FA1431" w:rsidP="00277DAF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FA1431">
        <w:rPr>
          <w:sz w:val="28"/>
          <w:szCs w:val="28"/>
          <w:lang w:val="uk-UA"/>
        </w:rPr>
        <w:t>Суспільний - стосується с</w:t>
      </w:r>
      <w:r w:rsidRPr="00FA1431">
        <w:rPr>
          <w:color w:val="424242"/>
          <w:sz w:val="28"/>
          <w:szCs w:val="28"/>
        </w:rPr>
        <w:t xml:space="preserve"> </w:t>
      </w:r>
      <w:r w:rsidRPr="00FA1431">
        <w:rPr>
          <w:color w:val="424242"/>
          <w:sz w:val="28"/>
          <w:szCs w:val="28"/>
        </w:rPr>
        <w:t>суспільства (лад, клас, система, праця, ста</w:t>
      </w:r>
      <w:r w:rsidRPr="00FA1431">
        <w:rPr>
          <w:color w:val="424242"/>
          <w:sz w:val="28"/>
          <w:szCs w:val="28"/>
        </w:rPr>
        <w:softHyphen/>
        <w:t>новище, виробництво).</w:t>
      </w:r>
    </w:p>
    <w:p w:rsidR="00FA1431" w:rsidRPr="00FA1431" w:rsidRDefault="00FA1431" w:rsidP="00277DAF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FA1431">
        <w:rPr>
          <w:color w:val="424242"/>
          <w:sz w:val="28"/>
          <w:szCs w:val="28"/>
        </w:rPr>
        <w:t>Громадський - стосується громади чи окремого колективу (обов 'я-зок, діяч, робота, вигін, організація).</w:t>
      </w:r>
    </w:p>
    <w:p w:rsidR="00FA1431" w:rsidRPr="00FA1431" w:rsidRDefault="00FA1431" w:rsidP="00277DAF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  <w:rPr>
          <w:color w:val="424242"/>
          <w:sz w:val="28"/>
          <w:szCs w:val="28"/>
        </w:rPr>
      </w:pPr>
      <w:r w:rsidRPr="00FA1431">
        <w:rPr>
          <w:color w:val="424242"/>
          <w:sz w:val="28"/>
          <w:szCs w:val="28"/>
        </w:rPr>
        <w:t>Закінчити</w:t>
      </w:r>
      <w:r w:rsidRPr="00F310DF">
        <w:rPr>
          <w:color w:val="424242"/>
          <w:sz w:val="28"/>
          <w:szCs w:val="28"/>
        </w:rPr>
        <w:t>, </w:t>
      </w:r>
      <w:r w:rsidRPr="00F310DF">
        <w:rPr>
          <w:rStyle w:val="a5"/>
          <w:b w:val="0"/>
          <w:color w:val="424242"/>
          <w:sz w:val="28"/>
          <w:szCs w:val="28"/>
        </w:rPr>
        <w:t>завершити.</w:t>
      </w:r>
    </w:p>
    <w:p w:rsidR="00FA1431" w:rsidRPr="00FA1431" w:rsidRDefault="00FA1431" w:rsidP="00277DAF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FA1431">
        <w:rPr>
          <w:color w:val="424242"/>
          <w:sz w:val="28"/>
          <w:szCs w:val="28"/>
        </w:rPr>
        <w:t>Завершити - довести справу до остаточного кінця, успішно закін</w:t>
      </w:r>
      <w:r w:rsidRPr="00FA1431">
        <w:rPr>
          <w:color w:val="424242"/>
          <w:sz w:val="28"/>
          <w:szCs w:val="28"/>
        </w:rPr>
        <w:softHyphen/>
        <w:t>чити дії; відтворює схвальний, урочистий тон оповіді {навчання, осві</w:t>
      </w:r>
      <w:r w:rsidRPr="00FA1431">
        <w:rPr>
          <w:color w:val="424242"/>
          <w:sz w:val="28"/>
          <w:szCs w:val="28"/>
        </w:rPr>
        <w:softHyphen/>
        <w:t xml:space="preserve">ту, </w:t>
      </w:r>
      <w:proofErr w:type="gramStart"/>
      <w:r w:rsidRPr="00FA1431">
        <w:rPr>
          <w:color w:val="424242"/>
          <w:sz w:val="28"/>
          <w:szCs w:val="28"/>
        </w:rPr>
        <w:t>досл</w:t>
      </w:r>
      <w:proofErr w:type="gramEnd"/>
      <w:r w:rsidRPr="00FA1431">
        <w:rPr>
          <w:color w:val="424242"/>
          <w:sz w:val="28"/>
          <w:szCs w:val="28"/>
        </w:rPr>
        <w:t>іди, операцію, переговори, видання).</w:t>
      </w:r>
    </w:p>
    <w:p w:rsidR="00F310DF" w:rsidRPr="00277DAF" w:rsidRDefault="00FA1431" w:rsidP="00277DAF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FA1431">
        <w:rPr>
          <w:color w:val="424242"/>
          <w:sz w:val="28"/>
          <w:szCs w:val="28"/>
        </w:rPr>
        <w:t xml:space="preserve">Закінчити - називає кінець </w:t>
      </w:r>
      <w:proofErr w:type="gramStart"/>
      <w:r w:rsidRPr="00FA1431">
        <w:rPr>
          <w:color w:val="424242"/>
          <w:sz w:val="28"/>
          <w:szCs w:val="28"/>
        </w:rPr>
        <w:t>р</w:t>
      </w:r>
      <w:proofErr w:type="gramEnd"/>
      <w:r w:rsidRPr="00FA1431">
        <w:rPr>
          <w:color w:val="424242"/>
          <w:sz w:val="28"/>
          <w:szCs w:val="28"/>
        </w:rPr>
        <w:t>ізноманітних дій, видів роботи, діяльнос</w:t>
      </w:r>
      <w:r w:rsidRPr="00FA1431">
        <w:rPr>
          <w:color w:val="424242"/>
          <w:sz w:val="28"/>
          <w:szCs w:val="28"/>
        </w:rPr>
        <w:softHyphen/>
        <w:t>ті, відрізку життя, навчання (оповідання, школу, університет, роботу).</w:t>
      </w:r>
    </w:p>
    <w:p w:rsidR="004469CE" w:rsidRPr="00277DAF" w:rsidRDefault="00FA1431" w:rsidP="00277DAF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FA1431">
        <w:rPr>
          <w:color w:val="424242"/>
          <w:sz w:val="28"/>
          <w:szCs w:val="28"/>
        </w:rPr>
        <w:t xml:space="preserve">Мовно-синонімічна культура - </w:t>
      </w:r>
      <w:proofErr w:type="gramStart"/>
      <w:r w:rsidRPr="00FA1431">
        <w:rPr>
          <w:color w:val="424242"/>
          <w:sz w:val="28"/>
          <w:szCs w:val="28"/>
        </w:rPr>
        <w:t>св</w:t>
      </w:r>
      <w:proofErr w:type="gramEnd"/>
      <w:r w:rsidRPr="00FA1431">
        <w:rPr>
          <w:color w:val="424242"/>
          <w:sz w:val="28"/>
          <w:szCs w:val="28"/>
        </w:rPr>
        <w:t>ідчення культури мислення, знан</w:t>
      </w:r>
      <w:r w:rsidRPr="00FA1431">
        <w:rPr>
          <w:color w:val="424242"/>
          <w:sz w:val="28"/>
          <w:szCs w:val="28"/>
        </w:rPr>
        <w:softHyphen/>
        <w:t>ня мови, ерудиції. Вміння вибрати найдоречніше слово дає змогу по</w:t>
      </w:r>
      <w:r w:rsidRPr="00FA1431">
        <w:rPr>
          <w:color w:val="424242"/>
          <w:sz w:val="28"/>
          <w:szCs w:val="28"/>
        </w:rPr>
        <w:softHyphen/>
        <w:t>бороти одноманітність мовлення, невиразність, побачити багатство і барви слова.</w:t>
      </w:r>
    </w:p>
    <w:p w:rsidR="004469CE" w:rsidRPr="00FA1431" w:rsidRDefault="004469CE" w:rsidP="0044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FA1431" w:rsidRDefault="009A7306" w:rsidP="00446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Абревіатури в діловому мовленні</w:t>
      </w:r>
    </w:p>
    <w:p w:rsidR="009A7306" w:rsidRPr="00FA1431" w:rsidRDefault="009A7306" w:rsidP="00446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скорочування слів</w:t>
      </w:r>
    </w:p>
    <w:p w:rsidR="009A7306" w:rsidRPr="00FA1431" w:rsidRDefault="009A7306" w:rsidP="0044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FA1431" w:rsidRDefault="009A7306" w:rsidP="0044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Явище абревіації полягає у скороченні довгих мовних формул і згортання їх у семантичну єдність – абревіатуру. Це порівняно новий спосіб словотворення, але досить продуктивний у сучасних мовах. Серед неологізмів – значна кількість саме абревіатур . Це явище поширилося на початку 20ст. і відповідало суспільній потребі мови , а саме – тенденції до уникнення надлишкової інформації, економії мовної енергії, уникнення повторів, упорядкованості та регламентації. Активізація процесу творення абревіатур зумовлена передусім суспільно – політичним чинниками , - а від так соціолінгвістичною ситуацією – появою чи оновленням назв державних, громадських, адміністративно – управлінських, політико – економічних, між державних і світових утворень.</w:t>
      </w:r>
    </w:p>
    <w:p w:rsidR="009A7306" w:rsidRPr="00FA1431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Отже, абревіатура (італ. ab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revia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tura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лат. A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bbrevio</w:t>
      </w:r>
      <w:r w:rsidRPr="00FA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скорочую ) – скорочене складне слово (іменник ) , утворене с початкових літер чи початкових слів, на основі яких твориться скорочення. Суттєвою ознакою абревіатур є стабільно вимова за назвами букв (рідше звуків) та – як результат її – лексикалізація графічних скорочень , якої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часом набувають часто вживані й загальновживані довгоживучі абревіатури, напр.: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Кабмін, НАТО ,ООН,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тощо. Основні умови їхнього функціонування – доцільність, зрозумілість, стандартність. Їх ще деколи називають « лексичними скороченнями». </w:t>
      </w: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Класифікація абревіатур залежно від їхньої структури та вимови має такий вигляд:</w:t>
      </w:r>
    </w:p>
    <w:p w:rsidR="009A7306" w:rsidRPr="009A7306" w:rsidRDefault="009A7306" w:rsidP="009A73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Ініціальні абревіатури –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утворені з початкових літер (звуків) слів, які входять у вихідне словосполучення: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а)буквені –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вимовляють як букви: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СНД – Співдружність Незалежних Держав; МЗС – Міністерство  закордонних справ; СБУ – Служба безпеки України; МВФ – Міжнародний валютних фонд;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б) звукові –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вимовляють як звуки: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ЄШКО – Європейська школа кореспондентської освіти; НАН – Національна академія наук; ЧАЕС – Чорнобильська атомна електрична станція; ВАТ – Відкрите акціонерне товариство;ДАІ – Державна автомобільна інспекція; ЗМІ – Засоби масової інформації; ЦУМ – Центральний універсальний магазин; СНІД – Синдром набутого імунного дефіциту.</w:t>
      </w: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2.</w:t>
      </w:r>
      <w:r w:rsidRPr="009A730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Абревіатури складового типу –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утворені усіченням основ двох (або більше) слів , з початкових складів мотивуючого складного найменування: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інтерпол (інтернаціональна поліція), Бенілюкс (об’єднувальна назва трьох європейських держав – Бельгії,Нідерландів,Люксембургу), військкомат (військовий комісаріат), торгпред (торгівельний представник), міськком (міський комітет), держстрах (державне страхування), нардеп (народний депутат).</w:t>
      </w: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3. Абревіатури змішаного типу –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утворені з початкової частини або частин слів і повного слова.  Це дуже поширений тип абревіатур у сучасній українській мові: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держмито, спецзамовлення, госпрозрахунок, дипкур’єр, генпрокурор, держсекретар, начштабу, техогляд, медсестра, турбюро, Донвугілля, Нацбанк, Галсервіс.</w:t>
      </w: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4. Комбіновані абревіатури –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утворені одразу двома зазначеними вище способами: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НДІБудшляхмаш, НДІторгмаш, ХарБТІ, АвтоЗаЗ.</w:t>
      </w: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Абревіатури широко використовують у засобах масової інформації, політичній, діловій сферах. Серед ініціальних абревіатур найбільшу групу становлять назви установ та організацій. З відновленням незалежності в Україні виникло багато нових партій, громадсько-політичних організацій, що мають два найменування: одне – повне, яке є словосполученням, інше скорочене – абревіатура.  Ознакою євро інтеграційної стратегії України є поява в українському політико-економічному дискурсі великої кількості абревіатур із компонентом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євро,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напр.: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єврокредит, єврооблігація, європарламент, євроринок, єврочек, чи основою Європа, напр.: ЄВС - Європейська валютна система, ЄВБ  – Європейський валютний банк, ЄБРР – Європейський банк реконструкції і розвитку, ЄС – Європейський союз.</w:t>
      </w: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змістом абревіатури можна поділити на: 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держав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ПАР, ФРН, США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міжнародних організацій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МАУ – Міжнародна асоціація україністів; ЮНЕСКО, ООН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партій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УРП, УНА, СДПУ(о), УХДП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військових угрупувань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ВМФ, ВПС, УПА, УГА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назви наукових, громадських, спортивних організацій(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НТШ– Наукове товариство імені Шевченка; ДНД – добровільна народна дружина; ФФУ – Федерація футболу України; НБА – Національна баскетбольна асоціація; МОК – Міжнародний олімпійський комітет);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телевізійних агентств і прогарам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УТ, УТН, УНІАН – Українське національне інформаційне агентство новин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підприємств, установ, організацій, банків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Укрсоцбанк, Промінвестбанк, ЛОРТА, РЕМА, Карпатбуд, НаУКМА – Національний університет «Києво – Могилянська академія »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літературних об</w:t>
      </w:r>
      <w:r w:rsidRPr="009A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єднань(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ВАПЛІТЕ – Вільна академія пролетарської літератури, Бу-Ба-Бу – Бурлеск – Балаган - Буфонада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«ПіК» - «Політик і культура»; «СіЧ» - «Слово і час», «ГУ» - «Голос україни»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назви відділів, відділень, факультетів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(райспоживспілка, облно, фінвідділ, біофак, журфак, юрфак);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назви посад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 кафедри, генсек, санінструктор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назви документів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спецзамовлення, спецпроект, техплан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Назви матеріалів, виробів, машин, пристроїв,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лавсан, тикональ-титан + кобальт + нікель + алюміній, комол – кобальт + молібден, колін вал, апарат УЗД, ГАЗ – 51,Ту – 154, Ан - 24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ін.</w:t>
      </w:r>
    </w:p>
    <w:p w:rsidR="009A7306" w:rsidRPr="009A7306" w:rsidRDefault="009A7306" w:rsidP="009A7306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Творення складноскорочених слів мусить відповідати таким вимогам : а)слово має легко « розгортатися» в повне найменування ; б) не має збігатися зі словом або скороченням, які вже є в мові; в) відповідати нормам українського правопису. Невдалими можна вважати немилозвучні абревіатури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СЄХЛ – Східноєвропейська хокейна ліга; СФУЖО  - Світова федерація українських жіночих організацій; ЄФВС – Європейський фонд валютної співпраці;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співзвучні з якимось звичайним словом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КІНО – Київський інститут народної освіти; УХО – Українська християнська організація; ЛАК – Ліга арабських країн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незрозумілі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мол завод, індпошив, промпродукти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Наслідком тривалої взаємодії української та російської мов є ненормативні сьогодні абревіатури, напр.: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вуз,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треба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внз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виш</w:t>
      </w: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Відмінюються абревіатури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9A7306" w:rsidRPr="009A7306" w:rsidRDefault="009A7306" w:rsidP="009A73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утворюються з початкового складу прикметника і повної форми іменника, напр.: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педінститут, медсестра,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зразком самостійних іменників, що входять до їхнього складу;</w:t>
      </w:r>
    </w:p>
    <w:p w:rsidR="009A7306" w:rsidRPr="009A7306" w:rsidRDefault="009A7306" w:rsidP="009A73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утворюються з початкових звукосполучень або початкових звуків мотивуючого складного найменування , напр.: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нардеп, жек, загс;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зразком тих іменників з якими вони збігаються за зовнішньою формою, тобто як іменники чоловічого роду другої відміни твердої групи;</w:t>
      </w:r>
    </w:p>
    <w:p w:rsidR="009A7306" w:rsidRPr="009A7306" w:rsidRDefault="009A7306" w:rsidP="009A73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відмінюються</w:t>
      </w:r>
      <w:r w:rsidRPr="009A730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абревіатури:</w:t>
      </w:r>
    </w:p>
    <w:p w:rsidR="009A7306" w:rsidRPr="009A7306" w:rsidRDefault="009A7306" w:rsidP="009A73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яких другий елемент має форму непрямого відмінка, напр.: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 канцелярії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комроти, начштабу;</w:t>
      </w:r>
    </w:p>
    <w:p w:rsidR="009A7306" w:rsidRPr="009A7306" w:rsidRDefault="009A7306" w:rsidP="009A73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ініціально – буквені чи ініціально – звукові, які не сприймаються як іменники ,що мають визначений рід і тип відміни, напр.: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ПТУ, ЗАТ.</w:t>
      </w:r>
    </w:p>
    <w:p w:rsidR="009A7306" w:rsidRPr="009A7306" w:rsidRDefault="009A7306" w:rsidP="009A7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Правильність написання, точність граматичної форми можна перевірити за спеціальними словниками скорочень української мови.</w:t>
      </w: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скорочування слів</w:t>
      </w:r>
    </w:p>
    <w:p w:rsidR="00277DAF" w:rsidRDefault="009A7306" w:rsidP="009A7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Окрім скорочень, придатних до вживання в усній і писемній формі мовлення, у діловому спілкуванні існують скорочення, призначені для зорового сприйняття, - </w:t>
      </w:r>
      <w:r w:rsidRPr="009A73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графічні, текстові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Ці скорочення не є словами, їх використовують лише на письмі. На відміну від лексичних скорочень , їх можна розшифрувати та прочитати повністю. Зазвичай, це скорочення, позначені малими буквами. </w:t>
      </w:r>
    </w:p>
    <w:p w:rsidR="00277DAF" w:rsidRDefault="00277DAF" w:rsidP="009A7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написанням графічні скорочення є декількох типів: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крапкові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ім.,див.,с.,м.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дефісні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ін.-т, р – н,б – ка, з -д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скісною рискою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с, в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с, в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нульові – на позначення фізичних, метричних величин, грошових  одиниць та ін. лише після цифр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20хв, 5кг, 300 грн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комбіновані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пд. – зах., пн. – сх.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ін.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Стандартними є такі типи скорочень: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поштові назви, назви адміністративних одиниць: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м., смт., обл.., р – н.,ст.., вул.;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б)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назви посад і звань: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асист.,доц.,проф.,канд.техн.наук,зав.,зам.,член-кор.,акад.;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в)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назви дат і календарних термінів: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н.е.,в.,ст.,м-ць,р.,рр..;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г)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грошові одиниці та числові назви: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грн,коп..,тис,млн,млрд;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форми звертання: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п.,гром.;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е) фізичні,метричні величини: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т,га,г,кг,л,мл,км,хв.,год.;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є) найменування документів: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квит.,накл..;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текстові позначення: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див.,пор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напр.,с.,та ін., і т. ін., табл.,іл.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скорочення слів мусять бути загальноприйнятими і зрозумілими , зафіксованими у державних стандартах і словниках. Не варто перевантажувати текст графічними скороченнями. Існують такі правила користування скороченнями: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слово має закінчуватись на приголосну (за невеликими винятками –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о. – острів, отець,А - ампер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має мати запас стійкості, щоб сприйматися однозначно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філол.,філос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скорочувати в тексті ключових слів;</w:t>
      </w:r>
    </w:p>
    <w:p w:rsidR="009A7306" w:rsidRPr="009A7306" w:rsidRDefault="009A7306" w:rsidP="009A7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написання скорочення має бути уніфікованим у межах тексту.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Є багато окремих правил, що потрібні у процесі роботи з документами. Наприклад, варто запам’ятати правильні скорочення місяців року: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січ., лют., берез., квіт., трав., черв., лип., серп., верес., жовт., листоп., груд.;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розділяти крапкою подвоєння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рр. – 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роки; не можна скорочувати імена та імена по батькові (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І. – Іван,М. – Михайло,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не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Ів.,Мих.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не скорочувати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стор.,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лише правильно –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с.;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писати правильно –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напр.,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не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н-д: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</w:t>
      </w:r>
      <w:r w:rsidRPr="009A73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н:</w:t>
      </w: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ін.</w:t>
      </w: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Скорочення слів використовують і для стислого письма, під час конспектування. Скорочувати можна різні частини мови, намагаючись дотримуватися загальноприйнятих норм, а не власних правил.</w:t>
      </w:r>
    </w:p>
    <w:p w:rsidR="009A7306" w:rsidRPr="009A7306" w:rsidRDefault="009A7306" w:rsidP="009A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306" w:rsidRPr="009A7306" w:rsidRDefault="009A7306" w:rsidP="009A7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7306" w:rsidRPr="00277DAF" w:rsidRDefault="009A7306" w:rsidP="009A73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DAF" w:rsidRPr="00277DAF" w:rsidRDefault="00277DAF" w:rsidP="00277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AF">
        <w:rPr>
          <w:rFonts w:ascii="Times New Roman" w:hAnsi="Times New Roman" w:cs="Times New Roman"/>
          <w:b/>
          <w:sz w:val="28"/>
          <w:szCs w:val="28"/>
        </w:rPr>
        <w:t xml:space="preserve">Питання </w:t>
      </w:r>
      <w:proofErr w:type="gramStart"/>
      <w:r w:rsidRPr="00277DA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77DAF">
        <w:rPr>
          <w:rFonts w:ascii="Times New Roman" w:hAnsi="Times New Roman" w:cs="Times New Roman"/>
          <w:b/>
          <w:sz w:val="28"/>
          <w:szCs w:val="28"/>
        </w:rPr>
        <w:t xml:space="preserve"> самоконтролю</w:t>
      </w:r>
    </w:p>
    <w:p w:rsidR="00277DAF" w:rsidRPr="00277DAF" w:rsidRDefault="00277DAF" w:rsidP="00277DAF">
      <w:pPr>
        <w:rPr>
          <w:rFonts w:ascii="Times New Roman" w:hAnsi="Times New Roman" w:cs="Times New Roman"/>
          <w:sz w:val="28"/>
          <w:szCs w:val="28"/>
        </w:rPr>
      </w:pPr>
      <w:r w:rsidRPr="00277DAF">
        <w:rPr>
          <w:rFonts w:ascii="Times New Roman" w:hAnsi="Times New Roman" w:cs="Times New Roman"/>
          <w:sz w:val="28"/>
          <w:szCs w:val="28"/>
        </w:rPr>
        <w:t>1. Які слова називаються синонімами?</w:t>
      </w:r>
    </w:p>
    <w:p w:rsidR="00277DAF" w:rsidRPr="00277DAF" w:rsidRDefault="00277DAF" w:rsidP="00277DAF">
      <w:pPr>
        <w:rPr>
          <w:rFonts w:ascii="Times New Roman" w:hAnsi="Times New Roman" w:cs="Times New Roman"/>
          <w:sz w:val="28"/>
          <w:szCs w:val="28"/>
        </w:rPr>
      </w:pPr>
      <w:r w:rsidRPr="00277DAF">
        <w:rPr>
          <w:rFonts w:ascii="Times New Roman" w:hAnsi="Times New Roman" w:cs="Times New Roman"/>
          <w:sz w:val="28"/>
          <w:szCs w:val="28"/>
        </w:rPr>
        <w:t>2.Які слова називаються омонімами?</w:t>
      </w:r>
    </w:p>
    <w:p w:rsidR="00277DAF" w:rsidRPr="00277DAF" w:rsidRDefault="00277DAF" w:rsidP="00277DAF">
      <w:pPr>
        <w:rPr>
          <w:rFonts w:ascii="Times New Roman" w:hAnsi="Times New Roman" w:cs="Times New Roman"/>
          <w:sz w:val="28"/>
          <w:szCs w:val="28"/>
        </w:rPr>
      </w:pPr>
      <w:r w:rsidRPr="00277DAF">
        <w:rPr>
          <w:rFonts w:ascii="Times New Roman" w:hAnsi="Times New Roman" w:cs="Times New Roman"/>
          <w:sz w:val="28"/>
          <w:szCs w:val="28"/>
        </w:rPr>
        <w:t>3. Що відомо вам про слова-пароніми?</w:t>
      </w:r>
    </w:p>
    <w:p w:rsidR="00277DAF" w:rsidRPr="00277DAF" w:rsidRDefault="00277DAF" w:rsidP="00277DAF">
      <w:pPr>
        <w:rPr>
          <w:rFonts w:ascii="Times New Roman" w:hAnsi="Times New Roman" w:cs="Times New Roman"/>
          <w:sz w:val="28"/>
          <w:szCs w:val="28"/>
        </w:rPr>
      </w:pPr>
      <w:r w:rsidRPr="00277DAF">
        <w:rPr>
          <w:rFonts w:ascii="Times New Roman" w:hAnsi="Times New Roman" w:cs="Times New Roman"/>
          <w:sz w:val="28"/>
          <w:szCs w:val="28"/>
        </w:rPr>
        <w:t>4. Які слова називаються омонімами?</w:t>
      </w:r>
    </w:p>
    <w:p w:rsidR="00277DAF" w:rsidRPr="00277DAF" w:rsidRDefault="00277DAF" w:rsidP="00277DAF">
      <w:pPr>
        <w:rPr>
          <w:rFonts w:ascii="Times New Roman" w:hAnsi="Times New Roman" w:cs="Times New Roman"/>
          <w:sz w:val="28"/>
          <w:szCs w:val="28"/>
        </w:rPr>
      </w:pPr>
      <w:r w:rsidRPr="00277DAF">
        <w:rPr>
          <w:rFonts w:ascii="Times New Roman" w:hAnsi="Times New Roman" w:cs="Times New Roman"/>
          <w:sz w:val="28"/>
          <w:szCs w:val="28"/>
        </w:rPr>
        <w:t>5. Чим ві</w:t>
      </w:r>
      <w:proofErr w:type="gramStart"/>
      <w:r w:rsidRPr="00277DA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77DAF">
        <w:rPr>
          <w:rFonts w:ascii="Times New Roman" w:hAnsi="Times New Roman" w:cs="Times New Roman"/>
          <w:sz w:val="28"/>
          <w:szCs w:val="28"/>
        </w:rPr>
        <w:t>ізняються багатозначні слова від омонімів?</w:t>
      </w:r>
    </w:p>
    <w:p w:rsidR="00277DAF" w:rsidRPr="00277DAF" w:rsidRDefault="00277DAF" w:rsidP="00277DAF">
      <w:pPr>
        <w:rPr>
          <w:rFonts w:ascii="Times New Roman" w:hAnsi="Times New Roman" w:cs="Times New Roman"/>
          <w:sz w:val="28"/>
          <w:szCs w:val="28"/>
        </w:rPr>
      </w:pPr>
      <w:r w:rsidRPr="00277DAF">
        <w:rPr>
          <w:rFonts w:ascii="Times New Roman" w:hAnsi="Times New Roman" w:cs="Times New Roman"/>
          <w:sz w:val="28"/>
          <w:szCs w:val="28"/>
        </w:rPr>
        <w:t>6. Наведіть приклади професійних синонімів, омонімів, антонімів, паронімів.</w:t>
      </w:r>
    </w:p>
    <w:p w:rsidR="00277DAF" w:rsidRPr="00277DAF" w:rsidRDefault="00277DAF" w:rsidP="00277DAF">
      <w:pPr>
        <w:rPr>
          <w:rFonts w:ascii="Times New Roman" w:hAnsi="Times New Roman" w:cs="Times New Roman"/>
          <w:sz w:val="28"/>
          <w:szCs w:val="28"/>
        </w:rPr>
      </w:pPr>
      <w:r w:rsidRPr="00277DAF">
        <w:rPr>
          <w:rFonts w:ascii="Times New Roman" w:hAnsi="Times New Roman" w:cs="Times New Roman"/>
          <w:sz w:val="28"/>
          <w:szCs w:val="28"/>
        </w:rPr>
        <w:t>7. Абревіатура - це...</w:t>
      </w:r>
    </w:p>
    <w:p w:rsidR="009A75DB" w:rsidRPr="009A75DB" w:rsidRDefault="00277DAF" w:rsidP="00277DAF">
      <w:pPr>
        <w:rPr>
          <w:rFonts w:ascii="Times New Roman" w:hAnsi="Times New Roman" w:cs="Times New Roman"/>
          <w:sz w:val="28"/>
          <w:szCs w:val="28"/>
        </w:rPr>
      </w:pPr>
      <w:r w:rsidRPr="00277DAF">
        <w:rPr>
          <w:rFonts w:ascii="Times New Roman" w:hAnsi="Times New Roman" w:cs="Times New Roman"/>
          <w:sz w:val="28"/>
          <w:szCs w:val="28"/>
        </w:rPr>
        <w:t>8. За написанням графічні скорочення є декількох типі</w:t>
      </w:r>
      <w:proofErr w:type="gramStart"/>
      <w:r w:rsidRPr="00277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7DAF">
        <w:rPr>
          <w:rFonts w:ascii="Times New Roman" w:hAnsi="Times New Roman" w:cs="Times New Roman"/>
          <w:sz w:val="28"/>
          <w:szCs w:val="28"/>
        </w:rPr>
        <w:t>:....</w:t>
      </w:r>
    </w:p>
    <w:sectPr w:rsidR="009A75DB" w:rsidRPr="009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632"/>
    <w:multiLevelType w:val="hybridMultilevel"/>
    <w:tmpl w:val="B40A880C"/>
    <w:lvl w:ilvl="0" w:tplc="D4F09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1456"/>
    <w:multiLevelType w:val="hybridMultilevel"/>
    <w:tmpl w:val="E73E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61E3"/>
    <w:multiLevelType w:val="hybridMultilevel"/>
    <w:tmpl w:val="111EEEF8"/>
    <w:lvl w:ilvl="0" w:tplc="5F303748">
      <w:start w:val="4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>
    <w:nsid w:val="45B206C9"/>
    <w:multiLevelType w:val="hybridMultilevel"/>
    <w:tmpl w:val="BC489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C11C5"/>
    <w:multiLevelType w:val="multilevel"/>
    <w:tmpl w:val="D6F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E1CC6"/>
    <w:multiLevelType w:val="hybridMultilevel"/>
    <w:tmpl w:val="91B0918C"/>
    <w:lvl w:ilvl="0" w:tplc="7A5489F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06"/>
    <w:rsid w:val="000048E0"/>
    <w:rsid w:val="00006072"/>
    <w:rsid w:val="00007B3E"/>
    <w:rsid w:val="000215C5"/>
    <w:rsid w:val="0002769A"/>
    <w:rsid w:val="00033458"/>
    <w:rsid w:val="00040C47"/>
    <w:rsid w:val="0004115E"/>
    <w:rsid w:val="0004222F"/>
    <w:rsid w:val="00042E37"/>
    <w:rsid w:val="00044DBC"/>
    <w:rsid w:val="0005176E"/>
    <w:rsid w:val="0005576D"/>
    <w:rsid w:val="00057E2A"/>
    <w:rsid w:val="000734C5"/>
    <w:rsid w:val="00074333"/>
    <w:rsid w:val="00076E64"/>
    <w:rsid w:val="00092906"/>
    <w:rsid w:val="00092F2F"/>
    <w:rsid w:val="00093384"/>
    <w:rsid w:val="000A09EF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479B"/>
    <w:rsid w:val="000E57A4"/>
    <w:rsid w:val="000F22BB"/>
    <w:rsid w:val="001049F2"/>
    <w:rsid w:val="00111CB2"/>
    <w:rsid w:val="00113FD6"/>
    <w:rsid w:val="00125A3D"/>
    <w:rsid w:val="00130AD9"/>
    <w:rsid w:val="00131062"/>
    <w:rsid w:val="00132CCD"/>
    <w:rsid w:val="00136941"/>
    <w:rsid w:val="001409F1"/>
    <w:rsid w:val="00141498"/>
    <w:rsid w:val="00141AA5"/>
    <w:rsid w:val="00144674"/>
    <w:rsid w:val="00151733"/>
    <w:rsid w:val="00156014"/>
    <w:rsid w:val="00157E63"/>
    <w:rsid w:val="00161A98"/>
    <w:rsid w:val="001622B0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A4A83"/>
    <w:rsid w:val="001B1B72"/>
    <w:rsid w:val="001B6CC1"/>
    <w:rsid w:val="001B78FD"/>
    <w:rsid w:val="001C1203"/>
    <w:rsid w:val="001C3516"/>
    <w:rsid w:val="001C4EDE"/>
    <w:rsid w:val="001C52BF"/>
    <w:rsid w:val="001D00B7"/>
    <w:rsid w:val="001E1A8A"/>
    <w:rsid w:val="001F0D42"/>
    <w:rsid w:val="001F3D22"/>
    <w:rsid w:val="002001C5"/>
    <w:rsid w:val="00204534"/>
    <w:rsid w:val="002069A4"/>
    <w:rsid w:val="002101FD"/>
    <w:rsid w:val="0021195A"/>
    <w:rsid w:val="002168F1"/>
    <w:rsid w:val="00217374"/>
    <w:rsid w:val="0023145F"/>
    <w:rsid w:val="00232E1F"/>
    <w:rsid w:val="00235CE1"/>
    <w:rsid w:val="002365BC"/>
    <w:rsid w:val="0024067A"/>
    <w:rsid w:val="0024082B"/>
    <w:rsid w:val="0024648F"/>
    <w:rsid w:val="00247140"/>
    <w:rsid w:val="00250F25"/>
    <w:rsid w:val="00251446"/>
    <w:rsid w:val="00264014"/>
    <w:rsid w:val="002650A7"/>
    <w:rsid w:val="00271EE3"/>
    <w:rsid w:val="00276450"/>
    <w:rsid w:val="00276F7D"/>
    <w:rsid w:val="00277205"/>
    <w:rsid w:val="00277DAF"/>
    <w:rsid w:val="002802D2"/>
    <w:rsid w:val="00284BCF"/>
    <w:rsid w:val="0028503F"/>
    <w:rsid w:val="00286CB7"/>
    <w:rsid w:val="002923D8"/>
    <w:rsid w:val="002A00A4"/>
    <w:rsid w:val="002A33EE"/>
    <w:rsid w:val="002A3D4F"/>
    <w:rsid w:val="002B1154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E7A89"/>
    <w:rsid w:val="002F36A9"/>
    <w:rsid w:val="003011C7"/>
    <w:rsid w:val="003014FC"/>
    <w:rsid w:val="00303909"/>
    <w:rsid w:val="00311446"/>
    <w:rsid w:val="00311CF1"/>
    <w:rsid w:val="00321F36"/>
    <w:rsid w:val="00324F15"/>
    <w:rsid w:val="00325368"/>
    <w:rsid w:val="003262DB"/>
    <w:rsid w:val="0034041F"/>
    <w:rsid w:val="003420FA"/>
    <w:rsid w:val="00345594"/>
    <w:rsid w:val="003461CE"/>
    <w:rsid w:val="00351939"/>
    <w:rsid w:val="0035382C"/>
    <w:rsid w:val="003615C3"/>
    <w:rsid w:val="00361BC0"/>
    <w:rsid w:val="003637D7"/>
    <w:rsid w:val="00364BAB"/>
    <w:rsid w:val="00374D89"/>
    <w:rsid w:val="00375C67"/>
    <w:rsid w:val="00381AD8"/>
    <w:rsid w:val="00381CDA"/>
    <w:rsid w:val="003837F1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79BF"/>
    <w:rsid w:val="003E2298"/>
    <w:rsid w:val="003E4916"/>
    <w:rsid w:val="003F1DB0"/>
    <w:rsid w:val="003F4691"/>
    <w:rsid w:val="003F68E4"/>
    <w:rsid w:val="00400F2A"/>
    <w:rsid w:val="0040108C"/>
    <w:rsid w:val="00404B77"/>
    <w:rsid w:val="00404C51"/>
    <w:rsid w:val="00410B40"/>
    <w:rsid w:val="00411030"/>
    <w:rsid w:val="00411F8D"/>
    <w:rsid w:val="00417AF6"/>
    <w:rsid w:val="00420A88"/>
    <w:rsid w:val="0042731B"/>
    <w:rsid w:val="00430B93"/>
    <w:rsid w:val="00440060"/>
    <w:rsid w:val="004469CE"/>
    <w:rsid w:val="00450AB1"/>
    <w:rsid w:val="004631A4"/>
    <w:rsid w:val="00465F0B"/>
    <w:rsid w:val="00466959"/>
    <w:rsid w:val="0047201A"/>
    <w:rsid w:val="0047492C"/>
    <w:rsid w:val="00476387"/>
    <w:rsid w:val="00482905"/>
    <w:rsid w:val="00486C38"/>
    <w:rsid w:val="00487587"/>
    <w:rsid w:val="00497BAE"/>
    <w:rsid w:val="004A1CBC"/>
    <w:rsid w:val="004B1C15"/>
    <w:rsid w:val="004B1C16"/>
    <w:rsid w:val="004B5817"/>
    <w:rsid w:val="004B6F31"/>
    <w:rsid w:val="004D2D68"/>
    <w:rsid w:val="004D4075"/>
    <w:rsid w:val="004D482B"/>
    <w:rsid w:val="004D70E6"/>
    <w:rsid w:val="004E49B1"/>
    <w:rsid w:val="004E5242"/>
    <w:rsid w:val="004F46CE"/>
    <w:rsid w:val="00500A08"/>
    <w:rsid w:val="0050207E"/>
    <w:rsid w:val="00505217"/>
    <w:rsid w:val="00506C0B"/>
    <w:rsid w:val="00507DDD"/>
    <w:rsid w:val="00510F28"/>
    <w:rsid w:val="00511B13"/>
    <w:rsid w:val="0051653E"/>
    <w:rsid w:val="00521D6B"/>
    <w:rsid w:val="00522F5C"/>
    <w:rsid w:val="00523C94"/>
    <w:rsid w:val="005245A3"/>
    <w:rsid w:val="0052536E"/>
    <w:rsid w:val="00526A2A"/>
    <w:rsid w:val="00535BBD"/>
    <w:rsid w:val="005362A8"/>
    <w:rsid w:val="005425B0"/>
    <w:rsid w:val="00543208"/>
    <w:rsid w:val="0054427A"/>
    <w:rsid w:val="00547F98"/>
    <w:rsid w:val="0055026E"/>
    <w:rsid w:val="005536AE"/>
    <w:rsid w:val="00563545"/>
    <w:rsid w:val="005637AC"/>
    <w:rsid w:val="005649BF"/>
    <w:rsid w:val="005650E5"/>
    <w:rsid w:val="00567537"/>
    <w:rsid w:val="005762A6"/>
    <w:rsid w:val="005773AE"/>
    <w:rsid w:val="00581960"/>
    <w:rsid w:val="00592B86"/>
    <w:rsid w:val="005971EE"/>
    <w:rsid w:val="00597FD8"/>
    <w:rsid w:val="005A6F41"/>
    <w:rsid w:val="005B1671"/>
    <w:rsid w:val="005C1476"/>
    <w:rsid w:val="005C1704"/>
    <w:rsid w:val="005C1A71"/>
    <w:rsid w:val="005C47BD"/>
    <w:rsid w:val="005C6E19"/>
    <w:rsid w:val="005D360D"/>
    <w:rsid w:val="005D696D"/>
    <w:rsid w:val="005F18A9"/>
    <w:rsid w:val="00601B0B"/>
    <w:rsid w:val="00603708"/>
    <w:rsid w:val="00604C0A"/>
    <w:rsid w:val="00613AE3"/>
    <w:rsid w:val="006160B3"/>
    <w:rsid w:val="00620EA8"/>
    <w:rsid w:val="00623647"/>
    <w:rsid w:val="00632406"/>
    <w:rsid w:val="00637E40"/>
    <w:rsid w:val="0064269D"/>
    <w:rsid w:val="006459E2"/>
    <w:rsid w:val="00651944"/>
    <w:rsid w:val="00652FE1"/>
    <w:rsid w:val="00655806"/>
    <w:rsid w:val="00655B34"/>
    <w:rsid w:val="00656F4E"/>
    <w:rsid w:val="00657E16"/>
    <w:rsid w:val="00660FEE"/>
    <w:rsid w:val="00670539"/>
    <w:rsid w:val="00672D8B"/>
    <w:rsid w:val="006755C8"/>
    <w:rsid w:val="00677531"/>
    <w:rsid w:val="00681F5E"/>
    <w:rsid w:val="00682FEE"/>
    <w:rsid w:val="00686050"/>
    <w:rsid w:val="00692BA9"/>
    <w:rsid w:val="00696160"/>
    <w:rsid w:val="006B0A40"/>
    <w:rsid w:val="006B266C"/>
    <w:rsid w:val="006B323A"/>
    <w:rsid w:val="006B38AC"/>
    <w:rsid w:val="006B5F7D"/>
    <w:rsid w:val="006B6695"/>
    <w:rsid w:val="006B7467"/>
    <w:rsid w:val="006C09F2"/>
    <w:rsid w:val="006C47E0"/>
    <w:rsid w:val="006C539D"/>
    <w:rsid w:val="006C7AE0"/>
    <w:rsid w:val="006D3CCC"/>
    <w:rsid w:val="006D7DDB"/>
    <w:rsid w:val="006E1A3D"/>
    <w:rsid w:val="006E3AE6"/>
    <w:rsid w:val="006E3E21"/>
    <w:rsid w:val="006F04E0"/>
    <w:rsid w:val="006F1A62"/>
    <w:rsid w:val="006F2879"/>
    <w:rsid w:val="006F73A8"/>
    <w:rsid w:val="00705F01"/>
    <w:rsid w:val="007118BB"/>
    <w:rsid w:val="00712913"/>
    <w:rsid w:val="00713866"/>
    <w:rsid w:val="0071750B"/>
    <w:rsid w:val="00720CB1"/>
    <w:rsid w:val="00723206"/>
    <w:rsid w:val="00733FEB"/>
    <w:rsid w:val="00737B97"/>
    <w:rsid w:val="00737CAE"/>
    <w:rsid w:val="00741834"/>
    <w:rsid w:val="00743C5B"/>
    <w:rsid w:val="00746329"/>
    <w:rsid w:val="00746E05"/>
    <w:rsid w:val="00753CCF"/>
    <w:rsid w:val="0075763C"/>
    <w:rsid w:val="0076474F"/>
    <w:rsid w:val="0076701F"/>
    <w:rsid w:val="007679B6"/>
    <w:rsid w:val="00783D3E"/>
    <w:rsid w:val="0078539D"/>
    <w:rsid w:val="00790701"/>
    <w:rsid w:val="00792DC0"/>
    <w:rsid w:val="007944FE"/>
    <w:rsid w:val="00797B84"/>
    <w:rsid w:val="007A2254"/>
    <w:rsid w:val="007A4E3C"/>
    <w:rsid w:val="007B0F0B"/>
    <w:rsid w:val="007B3A07"/>
    <w:rsid w:val="007B496D"/>
    <w:rsid w:val="007C3273"/>
    <w:rsid w:val="007D127D"/>
    <w:rsid w:val="007D1421"/>
    <w:rsid w:val="007E2AA5"/>
    <w:rsid w:val="007E5067"/>
    <w:rsid w:val="007E540B"/>
    <w:rsid w:val="007E61BB"/>
    <w:rsid w:val="007E634A"/>
    <w:rsid w:val="007F2251"/>
    <w:rsid w:val="007F234C"/>
    <w:rsid w:val="007F7C2D"/>
    <w:rsid w:val="00801E2B"/>
    <w:rsid w:val="0081099A"/>
    <w:rsid w:val="00810DEC"/>
    <w:rsid w:val="008154CE"/>
    <w:rsid w:val="0081752C"/>
    <w:rsid w:val="00826F42"/>
    <w:rsid w:val="00830414"/>
    <w:rsid w:val="00831CCD"/>
    <w:rsid w:val="00834357"/>
    <w:rsid w:val="00836BA8"/>
    <w:rsid w:val="008466D4"/>
    <w:rsid w:val="00850702"/>
    <w:rsid w:val="00852F4D"/>
    <w:rsid w:val="00857203"/>
    <w:rsid w:val="008614C1"/>
    <w:rsid w:val="008649A5"/>
    <w:rsid w:val="00871BB5"/>
    <w:rsid w:val="00873475"/>
    <w:rsid w:val="00874563"/>
    <w:rsid w:val="008812F8"/>
    <w:rsid w:val="00886EE2"/>
    <w:rsid w:val="00893351"/>
    <w:rsid w:val="008A54D9"/>
    <w:rsid w:val="008A7F7C"/>
    <w:rsid w:val="008B1D6D"/>
    <w:rsid w:val="008B7273"/>
    <w:rsid w:val="008C3A2E"/>
    <w:rsid w:val="008D3952"/>
    <w:rsid w:val="008D5619"/>
    <w:rsid w:val="008E4591"/>
    <w:rsid w:val="008E46D1"/>
    <w:rsid w:val="008E4732"/>
    <w:rsid w:val="008E6CFE"/>
    <w:rsid w:val="008F013E"/>
    <w:rsid w:val="008F36E8"/>
    <w:rsid w:val="008F394E"/>
    <w:rsid w:val="008F4982"/>
    <w:rsid w:val="008F7796"/>
    <w:rsid w:val="0090647F"/>
    <w:rsid w:val="009106DF"/>
    <w:rsid w:val="00913072"/>
    <w:rsid w:val="0091529A"/>
    <w:rsid w:val="00915F7C"/>
    <w:rsid w:val="00920463"/>
    <w:rsid w:val="00920F2E"/>
    <w:rsid w:val="0092186D"/>
    <w:rsid w:val="00925EE5"/>
    <w:rsid w:val="00934A11"/>
    <w:rsid w:val="00941B33"/>
    <w:rsid w:val="00942FD6"/>
    <w:rsid w:val="009474FC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5251"/>
    <w:rsid w:val="009A6504"/>
    <w:rsid w:val="009A690E"/>
    <w:rsid w:val="009A7306"/>
    <w:rsid w:val="009A75DB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1FBA"/>
    <w:rsid w:val="009F2050"/>
    <w:rsid w:val="009F3DD6"/>
    <w:rsid w:val="009F5B8F"/>
    <w:rsid w:val="009F7B48"/>
    <w:rsid w:val="00A040C7"/>
    <w:rsid w:val="00A10A20"/>
    <w:rsid w:val="00A242D1"/>
    <w:rsid w:val="00A31745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609A8"/>
    <w:rsid w:val="00A63617"/>
    <w:rsid w:val="00A711E6"/>
    <w:rsid w:val="00A76009"/>
    <w:rsid w:val="00A77902"/>
    <w:rsid w:val="00A862AD"/>
    <w:rsid w:val="00A911B8"/>
    <w:rsid w:val="00A94A5E"/>
    <w:rsid w:val="00AA721E"/>
    <w:rsid w:val="00AA734E"/>
    <w:rsid w:val="00AC35F4"/>
    <w:rsid w:val="00AD1519"/>
    <w:rsid w:val="00AD5B01"/>
    <w:rsid w:val="00AD5C31"/>
    <w:rsid w:val="00AD7841"/>
    <w:rsid w:val="00AE2065"/>
    <w:rsid w:val="00AF2178"/>
    <w:rsid w:val="00B0525A"/>
    <w:rsid w:val="00B138C7"/>
    <w:rsid w:val="00B13E36"/>
    <w:rsid w:val="00B1765B"/>
    <w:rsid w:val="00B1767B"/>
    <w:rsid w:val="00B20C7C"/>
    <w:rsid w:val="00B26AD2"/>
    <w:rsid w:val="00B30DD0"/>
    <w:rsid w:val="00B3155E"/>
    <w:rsid w:val="00B31B26"/>
    <w:rsid w:val="00B3702C"/>
    <w:rsid w:val="00B41C87"/>
    <w:rsid w:val="00B44D33"/>
    <w:rsid w:val="00B518E7"/>
    <w:rsid w:val="00B51AAE"/>
    <w:rsid w:val="00B54437"/>
    <w:rsid w:val="00B613E7"/>
    <w:rsid w:val="00B73ADB"/>
    <w:rsid w:val="00B766BC"/>
    <w:rsid w:val="00B84830"/>
    <w:rsid w:val="00B91872"/>
    <w:rsid w:val="00BA10BE"/>
    <w:rsid w:val="00BA4417"/>
    <w:rsid w:val="00BB2D6E"/>
    <w:rsid w:val="00BB33C1"/>
    <w:rsid w:val="00BC0AD3"/>
    <w:rsid w:val="00BC79F6"/>
    <w:rsid w:val="00BD0F7C"/>
    <w:rsid w:val="00BD4891"/>
    <w:rsid w:val="00BE752B"/>
    <w:rsid w:val="00BF0A07"/>
    <w:rsid w:val="00C107DC"/>
    <w:rsid w:val="00C2383F"/>
    <w:rsid w:val="00C239FE"/>
    <w:rsid w:val="00C27419"/>
    <w:rsid w:val="00C27761"/>
    <w:rsid w:val="00C3640E"/>
    <w:rsid w:val="00C407F5"/>
    <w:rsid w:val="00C448D5"/>
    <w:rsid w:val="00C44901"/>
    <w:rsid w:val="00C5253E"/>
    <w:rsid w:val="00C5345A"/>
    <w:rsid w:val="00C54DCE"/>
    <w:rsid w:val="00C551D7"/>
    <w:rsid w:val="00C6025B"/>
    <w:rsid w:val="00C6196A"/>
    <w:rsid w:val="00C62D41"/>
    <w:rsid w:val="00C73CB3"/>
    <w:rsid w:val="00C74D90"/>
    <w:rsid w:val="00C75BE2"/>
    <w:rsid w:val="00C7705C"/>
    <w:rsid w:val="00C77651"/>
    <w:rsid w:val="00C81688"/>
    <w:rsid w:val="00C816A4"/>
    <w:rsid w:val="00C82243"/>
    <w:rsid w:val="00C93799"/>
    <w:rsid w:val="00C9425A"/>
    <w:rsid w:val="00CA0385"/>
    <w:rsid w:val="00CA3A8C"/>
    <w:rsid w:val="00CA46F7"/>
    <w:rsid w:val="00CB4F11"/>
    <w:rsid w:val="00CB5321"/>
    <w:rsid w:val="00CC0697"/>
    <w:rsid w:val="00CC06F0"/>
    <w:rsid w:val="00CC130D"/>
    <w:rsid w:val="00CC13AB"/>
    <w:rsid w:val="00CD18C0"/>
    <w:rsid w:val="00CD1AF1"/>
    <w:rsid w:val="00CD432C"/>
    <w:rsid w:val="00CD56D3"/>
    <w:rsid w:val="00CD70CC"/>
    <w:rsid w:val="00CE28AD"/>
    <w:rsid w:val="00CF3123"/>
    <w:rsid w:val="00CF7A34"/>
    <w:rsid w:val="00D03FE6"/>
    <w:rsid w:val="00D04460"/>
    <w:rsid w:val="00D10B10"/>
    <w:rsid w:val="00D122A6"/>
    <w:rsid w:val="00D16B4B"/>
    <w:rsid w:val="00D16BB3"/>
    <w:rsid w:val="00D217CE"/>
    <w:rsid w:val="00D26681"/>
    <w:rsid w:val="00D3592F"/>
    <w:rsid w:val="00D367FF"/>
    <w:rsid w:val="00D36CD6"/>
    <w:rsid w:val="00D41345"/>
    <w:rsid w:val="00D525CF"/>
    <w:rsid w:val="00D5276D"/>
    <w:rsid w:val="00D620A8"/>
    <w:rsid w:val="00D65448"/>
    <w:rsid w:val="00D862CA"/>
    <w:rsid w:val="00D92D3A"/>
    <w:rsid w:val="00D958B3"/>
    <w:rsid w:val="00DA233A"/>
    <w:rsid w:val="00DB2005"/>
    <w:rsid w:val="00DB2A4D"/>
    <w:rsid w:val="00DC38A4"/>
    <w:rsid w:val="00DC7E19"/>
    <w:rsid w:val="00DD2BD0"/>
    <w:rsid w:val="00DD5C18"/>
    <w:rsid w:val="00DE60B6"/>
    <w:rsid w:val="00DF1901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440B"/>
    <w:rsid w:val="00E26668"/>
    <w:rsid w:val="00E40711"/>
    <w:rsid w:val="00E40962"/>
    <w:rsid w:val="00E44386"/>
    <w:rsid w:val="00E46149"/>
    <w:rsid w:val="00E51683"/>
    <w:rsid w:val="00E5202C"/>
    <w:rsid w:val="00E5299E"/>
    <w:rsid w:val="00E56807"/>
    <w:rsid w:val="00E5794C"/>
    <w:rsid w:val="00E579B1"/>
    <w:rsid w:val="00E65BFB"/>
    <w:rsid w:val="00E65F09"/>
    <w:rsid w:val="00E70680"/>
    <w:rsid w:val="00E71AC4"/>
    <w:rsid w:val="00E760CE"/>
    <w:rsid w:val="00E76332"/>
    <w:rsid w:val="00E77720"/>
    <w:rsid w:val="00E80CFE"/>
    <w:rsid w:val="00E856E7"/>
    <w:rsid w:val="00E91571"/>
    <w:rsid w:val="00E91ECF"/>
    <w:rsid w:val="00E9303D"/>
    <w:rsid w:val="00EA6A8D"/>
    <w:rsid w:val="00EB2DC3"/>
    <w:rsid w:val="00EB36D9"/>
    <w:rsid w:val="00EB6F39"/>
    <w:rsid w:val="00EB7DC6"/>
    <w:rsid w:val="00ED11EB"/>
    <w:rsid w:val="00ED5649"/>
    <w:rsid w:val="00EE5F4C"/>
    <w:rsid w:val="00EE78F7"/>
    <w:rsid w:val="00EF4154"/>
    <w:rsid w:val="00F00014"/>
    <w:rsid w:val="00F03449"/>
    <w:rsid w:val="00F06F2F"/>
    <w:rsid w:val="00F07854"/>
    <w:rsid w:val="00F111E3"/>
    <w:rsid w:val="00F22B34"/>
    <w:rsid w:val="00F23D55"/>
    <w:rsid w:val="00F310DF"/>
    <w:rsid w:val="00F416F5"/>
    <w:rsid w:val="00F46B0D"/>
    <w:rsid w:val="00F47469"/>
    <w:rsid w:val="00F60C7C"/>
    <w:rsid w:val="00F611EE"/>
    <w:rsid w:val="00F64E06"/>
    <w:rsid w:val="00F74DE1"/>
    <w:rsid w:val="00F7670A"/>
    <w:rsid w:val="00F77DBA"/>
    <w:rsid w:val="00F80002"/>
    <w:rsid w:val="00F80A80"/>
    <w:rsid w:val="00F82412"/>
    <w:rsid w:val="00F837E7"/>
    <w:rsid w:val="00F83D76"/>
    <w:rsid w:val="00F865B9"/>
    <w:rsid w:val="00F91141"/>
    <w:rsid w:val="00F9580E"/>
    <w:rsid w:val="00F975EE"/>
    <w:rsid w:val="00FA1431"/>
    <w:rsid w:val="00FA18E2"/>
    <w:rsid w:val="00FA2ED8"/>
    <w:rsid w:val="00FA3B6E"/>
    <w:rsid w:val="00FA42AE"/>
    <w:rsid w:val="00FA7E5E"/>
    <w:rsid w:val="00FB09FD"/>
    <w:rsid w:val="00FC0EA4"/>
    <w:rsid w:val="00FC5594"/>
    <w:rsid w:val="00FC6E77"/>
    <w:rsid w:val="00FD0212"/>
    <w:rsid w:val="00FD4C9F"/>
    <w:rsid w:val="00FE0CFB"/>
    <w:rsid w:val="00FE2037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7306"/>
    <w:pPr>
      <w:ind w:left="720"/>
      <w:contextualSpacing/>
    </w:pPr>
  </w:style>
  <w:style w:type="character" w:styleId="a5">
    <w:name w:val="Strong"/>
    <w:basedOn w:val="a0"/>
    <w:uiPriority w:val="22"/>
    <w:qFormat/>
    <w:rsid w:val="004469CE"/>
    <w:rPr>
      <w:b/>
      <w:bCs/>
    </w:rPr>
  </w:style>
  <w:style w:type="character" w:styleId="a6">
    <w:name w:val="Hyperlink"/>
    <w:basedOn w:val="a0"/>
    <w:uiPriority w:val="99"/>
    <w:semiHidden/>
    <w:unhideWhenUsed/>
    <w:rsid w:val="00E77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7306"/>
    <w:pPr>
      <w:ind w:left="720"/>
      <w:contextualSpacing/>
    </w:pPr>
  </w:style>
  <w:style w:type="character" w:styleId="a5">
    <w:name w:val="Strong"/>
    <w:basedOn w:val="a0"/>
    <w:uiPriority w:val="22"/>
    <w:qFormat/>
    <w:rsid w:val="004469CE"/>
    <w:rPr>
      <w:b/>
      <w:bCs/>
    </w:rPr>
  </w:style>
  <w:style w:type="character" w:styleId="a6">
    <w:name w:val="Hyperlink"/>
    <w:basedOn w:val="a0"/>
    <w:uiPriority w:val="99"/>
    <w:semiHidden/>
    <w:unhideWhenUsed/>
    <w:rsid w:val="00E7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2020-09-07T16:58:00Z</dcterms:created>
  <dcterms:modified xsi:type="dcterms:W3CDTF">2020-09-07T18:27:00Z</dcterms:modified>
</cp:coreProperties>
</file>